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C726F3" w:rsidP="006F084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3624496" r:id="rId8"/>
        </w:pic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C15BB4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09.11.2017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                 </w:t>
      </w:r>
      <w:r w:rsidR="006F0843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      </w:t>
      </w:r>
      <w:r w:rsidR="006F0843">
        <w:rPr>
          <w:rFonts w:ascii="Times New Roman" w:hAnsi="Times New Roman"/>
          <w:szCs w:val="28"/>
        </w:rPr>
        <w:t xml:space="preserve">                     </w:t>
      </w:r>
      <w:r w:rsidR="006F0843">
        <w:rPr>
          <w:rFonts w:ascii="Times New Roman" w:hAnsi="Times New Roman"/>
          <w:szCs w:val="28"/>
        </w:rPr>
        <w:tab/>
        <w:t xml:space="preserve">   №</w:t>
      </w:r>
      <w:r>
        <w:rPr>
          <w:rFonts w:ascii="Times New Roman" w:hAnsi="Times New Roman"/>
          <w:szCs w:val="28"/>
        </w:rPr>
        <w:t xml:space="preserve"> 2376</w:t>
      </w:r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F0843" w:rsidRPr="00AD223B" w:rsidRDefault="006F0843" w:rsidP="006F0843">
      <w:pPr>
        <w:spacing w:line="269" w:lineRule="auto"/>
        <w:ind w:firstLine="686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9" w:history="1">
        <w:proofErr w:type="gramStart"/>
        <w:r w:rsidRPr="00AD223B">
          <w:rPr>
            <w:sz w:val="28"/>
            <w:szCs w:val="28"/>
          </w:rPr>
          <w:t>закон</w:t>
        </w:r>
        <w:proofErr w:type="gramEnd"/>
      </w:hyperlink>
      <w:r w:rsidRPr="00AD223B">
        <w:rPr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                     статьи 50 Федерального закона от 25.06.2002 №</w:t>
      </w:r>
      <w:r w:rsidR="00E87E88" w:rsidRPr="00AD223B">
        <w:rPr>
          <w:sz w:val="28"/>
          <w:szCs w:val="28"/>
        </w:rPr>
        <w:t xml:space="preserve"> </w:t>
      </w:r>
      <w:r w:rsidRPr="00AD223B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Закона Воронежской области от 13.05.2008 № 25-ОЗ «О регулировании земельных отношений на территории Воронежской области», постановления правительства  </w:t>
      </w:r>
      <w:r w:rsidRPr="00AD223B">
        <w:rPr>
          <w:color w:val="000000" w:themeColor="text1"/>
          <w:sz w:val="28"/>
          <w:szCs w:val="28"/>
        </w:rPr>
        <w:t xml:space="preserve">Воронежской  области  от  08.05.2009  № 365  </w:t>
      </w:r>
      <w:proofErr w:type="gramStart"/>
      <w:r w:rsidRPr="00AD223B">
        <w:rPr>
          <w:color w:val="000000" w:themeColor="text1"/>
          <w:sz w:val="28"/>
          <w:szCs w:val="28"/>
        </w:rPr>
        <w:t xml:space="preserve">«Об утверждении Положения о департаменте имущественных и земельных отношений  Воронежской  области», записей регистрации в Едином государственном реестре недвижимости от </w:t>
      </w:r>
      <w:r w:rsidR="006946C2" w:rsidRPr="00AD223B">
        <w:rPr>
          <w:color w:val="000000" w:themeColor="text1"/>
          <w:sz w:val="28"/>
          <w:szCs w:val="28"/>
        </w:rPr>
        <w:t>12.09.2012</w:t>
      </w:r>
      <w:r w:rsidRPr="00AD223B">
        <w:rPr>
          <w:color w:val="000000" w:themeColor="text1"/>
          <w:sz w:val="28"/>
          <w:szCs w:val="28"/>
        </w:rPr>
        <w:t xml:space="preserve"> номер государственной регистрации 36</w:t>
      </w:r>
      <w:r w:rsidR="006946C2" w:rsidRPr="00AD223B">
        <w:rPr>
          <w:color w:val="000000" w:themeColor="text1"/>
          <w:sz w:val="28"/>
          <w:szCs w:val="28"/>
        </w:rPr>
        <w:t>-36-05/020/2012-590</w:t>
      </w:r>
      <w:r w:rsidRPr="00AD223B">
        <w:rPr>
          <w:color w:val="000000" w:themeColor="text1"/>
          <w:sz w:val="28"/>
          <w:szCs w:val="28"/>
        </w:rPr>
        <w:t xml:space="preserve"> права собственности Воронежской области на объект недвижимого имущества, от </w:t>
      </w:r>
      <w:r w:rsidR="006946C2" w:rsidRPr="00AD223B">
        <w:rPr>
          <w:color w:val="000000" w:themeColor="text1"/>
          <w:sz w:val="28"/>
          <w:szCs w:val="28"/>
        </w:rPr>
        <w:t>12.04</w:t>
      </w:r>
      <w:r w:rsidRPr="00AD223B">
        <w:rPr>
          <w:color w:val="000000" w:themeColor="text1"/>
          <w:sz w:val="28"/>
          <w:szCs w:val="28"/>
        </w:rPr>
        <w:t>.201</w:t>
      </w:r>
      <w:r w:rsidR="006946C2" w:rsidRPr="00AD223B">
        <w:rPr>
          <w:color w:val="000000" w:themeColor="text1"/>
          <w:sz w:val="28"/>
          <w:szCs w:val="28"/>
        </w:rPr>
        <w:t>3</w:t>
      </w:r>
      <w:r w:rsidRPr="00AD223B">
        <w:rPr>
          <w:color w:val="000000" w:themeColor="text1"/>
          <w:sz w:val="28"/>
          <w:szCs w:val="28"/>
        </w:rPr>
        <w:t xml:space="preserve"> номер регистрации </w:t>
      </w:r>
      <w:r w:rsidR="00733E5A" w:rsidRPr="00AD223B">
        <w:rPr>
          <w:color w:val="000000" w:themeColor="text1"/>
          <w:sz w:val="28"/>
          <w:szCs w:val="28"/>
        </w:rPr>
        <w:t>36</w:t>
      </w:r>
      <w:r w:rsidR="006946C2" w:rsidRPr="00AD223B">
        <w:rPr>
          <w:color w:val="000000" w:themeColor="text1"/>
          <w:sz w:val="28"/>
          <w:szCs w:val="28"/>
        </w:rPr>
        <w:t>-36-05/002/2013-439</w:t>
      </w:r>
      <w:r w:rsidRPr="00AD223B">
        <w:rPr>
          <w:color w:val="000000" w:themeColor="text1"/>
          <w:sz w:val="28"/>
          <w:szCs w:val="28"/>
        </w:rPr>
        <w:t xml:space="preserve"> права собственности Воронежской области на земельный участок, заявления Местной религиозной организации </w:t>
      </w:r>
      <w:proofErr w:type="gramEnd"/>
      <w:r w:rsidRPr="00AD223B">
        <w:rPr>
          <w:color w:val="000000" w:themeColor="text1"/>
          <w:sz w:val="28"/>
          <w:szCs w:val="28"/>
        </w:rPr>
        <w:t>прав</w:t>
      </w:r>
      <w:r w:rsidR="00AD223B" w:rsidRPr="00AD223B">
        <w:rPr>
          <w:color w:val="000000" w:themeColor="text1"/>
          <w:sz w:val="28"/>
          <w:szCs w:val="28"/>
        </w:rPr>
        <w:t>ославный Приход храма во имя св</w:t>
      </w:r>
      <w:r w:rsidRPr="00AD223B">
        <w:rPr>
          <w:color w:val="000000" w:themeColor="text1"/>
          <w:sz w:val="28"/>
          <w:szCs w:val="28"/>
        </w:rPr>
        <w:t xml:space="preserve">. </w:t>
      </w:r>
      <w:r w:rsidR="00AD223B" w:rsidRPr="00AD223B">
        <w:rPr>
          <w:color w:val="000000" w:themeColor="text1"/>
          <w:sz w:val="28"/>
          <w:szCs w:val="28"/>
        </w:rPr>
        <w:t xml:space="preserve">Архистратига Михаила с. </w:t>
      </w:r>
      <w:proofErr w:type="spellStart"/>
      <w:r w:rsidR="00AD223B" w:rsidRPr="00AD223B">
        <w:rPr>
          <w:color w:val="000000" w:themeColor="text1"/>
          <w:sz w:val="28"/>
          <w:szCs w:val="28"/>
        </w:rPr>
        <w:t>Чигорак</w:t>
      </w:r>
      <w:proofErr w:type="spellEnd"/>
      <w:r w:rsidR="00AD223B" w:rsidRPr="00AD223B">
        <w:rPr>
          <w:color w:val="000000" w:themeColor="text1"/>
          <w:sz w:val="28"/>
          <w:szCs w:val="28"/>
        </w:rPr>
        <w:t xml:space="preserve"> Борисоглеб</w:t>
      </w:r>
      <w:r w:rsidRPr="00AD223B">
        <w:rPr>
          <w:color w:val="000000" w:themeColor="text1"/>
          <w:sz w:val="28"/>
          <w:szCs w:val="28"/>
        </w:rPr>
        <w:t>ского района Воронежской области религиозной организации «</w:t>
      </w:r>
      <w:r w:rsidR="00AD223B" w:rsidRPr="00AD223B">
        <w:rPr>
          <w:color w:val="000000" w:themeColor="text1"/>
          <w:sz w:val="28"/>
          <w:szCs w:val="28"/>
        </w:rPr>
        <w:t>Борисоглеб</w:t>
      </w:r>
      <w:r w:rsidRPr="00AD223B">
        <w:rPr>
          <w:color w:val="000000" w:themeColor="text1"/>
          <w:sz w:val="28"/>
          <w:szCs w:val="28"/>
        </w:rPr>
        <w:t>ская Епархия Русской П</w:t>
      </w:r>
      <w:r w:rsidR="00E87E88" w:rsidRPr="00AD223B">
        <w:rPr>
          <w:color w:val="000000" w:themeColor="text1"/>
          <w:sz w:val="28"/>
          <w:szCs w:val="28"/>
        </w:rPr>
        <w:t>равославной Церкви (Московский Патриархат)» от 0</w:t>
      </w:r>
      <w:r w:rsidR="00AD223B" w:rsidRPr="00AD223B">
        <w:rPr>
          <w:color w:val="000000" w:themeColor="text1"/>
          <w:sz w:val="28"/>
          <w:szCs w:val="28"/>
        </w:rPr>
        <w:t>9.10</w:t>
      </w:r>
      <w:r w:rsidRPr="00AD223B">
        <w:rPr>
          <w:color w:val="000000" w:themeColor="text1"/>
          <w:sz w:val="28"/>
          <w:szCs w:val="28"/>
        </w:rPr>
        <w:t>.2017, согласованного с религиозной организацией  «</w:t>
      </w:r>
      <w:r w:rsidR="00AD223B" w:rsidRPr="00AD223B">
        <w:rPr>
          <w:color w:val="000000" w:themeColor="text1"/>
          <w:sz w:val="28"/>
          <w:szCs w:val="28"/>
        </w:rPr>
        <w:t>Борисоглеб</w:t>
      </w:r>
      <w:r w:rsidRPr="00AD223B">
        <w:rPr>
          <w:color w:val="000000" w:themeColor="text1"/>
          <w:sz w:val="28"/>
          <w:szCs w:val="28"/>
        </w:rPr>
        <w:t xml:space="preserve">ская Епархия Русской Православной Церкви      (Московский    Патриархат)»    от  </w:t>
      </w:r>
      <w:r w:rsidR="00483CCB" w:rsidRPr="00AD223B">
        <w:rPr>
          <w:color w:val="000000" w:themeColor="text1"/>
          <w:sz w:val="28"/>
          <w:szCs w:val="28"/>
        </w:rPr>
        <w:t>0</w:t>
      </w:r>
      <w:r w:rsidR="00AD223B" w:rsidRPr="00AD223B">
        <w:rPr>
          <w:color w:val="000000" w:themeColor="text1"/>
          <w:sz w:val="28"/>
          <w:szCs w:val="28"/>
        </w:rPr>
        <w:t>5</w:t>
      </w:r>
      <w:r w:rsidR="00483CCB" w:rsidRPr="00AD223B">
        <w:rPr>
          <w:color w:val="000000" w:themeColor="text1"/>
          <w:sz w:val="28"/>
          <w:szCs w:val="28"/>
        </w:rPr>
        <w:t>.09</w:t>
      </w:r>
      <w:r w:rsidRPr="00AD223B">
        <w:rPr>
          <w:color w:val="000000" w:themeColor="text1"/>
          <w:sz w:val="28"/>
          <w:szCs w:val="28"/>
        </w:rPr>
        <w:t xml:space="preserve">.2017, </w:t>
      </w:r>
      <w:proofErr w:type="gramStart"/>
      <w:r w:rsidRPr="00AD223B">
        <w:rPr>
          <w:color w:val="000000" w:themeColor="text1"/>
          <w:sz w:val="28"/>
          <w:szCs w:val="28"/>
        </w:rPr>
        <w:t>п</w:t>
      </w:r>
      <w:proofErr w:type="gramEnd"/>
      <w:r w:rsidRPr="00AD223B">
        <w:rPr>
          <w:color w:val="000000" w:themeColor="text1"/>
          <w:sz w:val="28"/>
          <w:szCs w:val="28"/>
        </w:rPr>
        <w:t xml:space="preserve"> р и к а з ы в а ю:</w:t>
      </w:r>
    </w:p>
    <w:p w:rsidR="006F0843" w:rsidRPr="00AD223B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lastRenderedPageBreak/>
        <w:t xml:space="preserve">1. </w:t>
      </w:r>
      <w:proofErr w:type="gramStart"/>
      <w:r w:rsidRPr="00AD223B">
        <w:rPr>
          <w:sz w:val="28"/>
          <w:szCs w:val="28"/>
        </w:rPr>
        <w:t xml:space="preserve">Передать в установленном порядке в собственность Местной религиозной организации православный Приход храма во имя </w:t>
      </w:r>
      <w:r w:rsidR="00AD223B" w:rsidRPr="00AD223B">
        <w:rPr>
          <w:sz w:val="28"/>
          <w:szCs w:val="28"/>
        </w:rPr>
        <w:t xml:space="preserve">св. Архистратига Михаила с. </w:t>
      </w:r>
      <w:proofErr w:type="spellStart"/>
      <w:r w:rsidR="00AD223B" w:rsidRPr="00AD223B">
        <w:rPr>
          <w:sz w:val="28"/>
          <w:szCs w:val="28"/>
        </w:rPr>
        <w:t>Чигорак</w:t>
      </w:r>
      <w:proofErr w:type="spellEnd"/>
      <w:r w:rsidR="00AD223B" w:rsidRPr="00AD223B">
        <w:rPr>
          <w:sz w:val="28"/>
          <w:szCs w:val="28"/>
        </w:rPr>
        <w:t xml:space="preserve"> Борисоглебского района Воронежской области религиозной организации «Борисоглебская Епархия Русской Православной Церкви (Московский Патриархат)»</w:t>
      </w:r>
      <w:r w:rsidRPr="00AD223B"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Pr="00AD223B">
        <w:rPr>
          <w:rFonts w:ascii="Calibri" w:hAnsi="Calibri" w:cs="Calibri"/>
          <w:sz w:val="28"/>
          <w:szCs w:val="28"/>
        </w:rPr>
        <w:t>.</w:t>
      </w:r>
      <w:proofErr w:type="gramEnd"/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3. Отделу бухгалтерского учета и отчетности (Черных) 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6F0843" w:rsidRPr="00AD223B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4. </w:t>
      </w:r>
      <w:proofErr w:type="gramStart"/>
      <w:r w:rsidRPr="00AD223B">
        <w:rPr>
          <w:sz w:val="28"/>
          <w:szCs w:val="28"/>
        </w:rPr>
        <w:t>Контроль за</w:t>
      </w:r>
      <w:proofErr w:type="gramEnd"/>
      <w:r w:rsidRPr="00AD223B">
        <w:rPr>
          <w:sz w:val="28"/>
          <w:szCs w:val="28"/>
        </w:rPr>
        <w:t xml:space="preserve"> исполнением настоящего приказа </w:t>
      </w:r>
      <w:r w:rsidR="00E87E88" w:rsidRPr="00AD223B">
        <w:rPr>
          <w:sz w:val="28"/>
          <w:szCs w:val="28"/>
        </w:rPr>
        <w:t>оставляю за собой.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2560D8" w:rsidRDefault="002560D8"/>
    <w:p w:rsidR="00C15BB4" w:rsidRDefault="00C15BB4">
      <w:pPr>
        <w:sectPr w:rsidR="00C15BB4" w:rsidSect="000F3461">
          <w:headerReference w:type="even" r:id="rId10"/>
          <w:headerReference w:type="default" r:id="rId11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C15BB4" w:rsidRPr="002B4729" w:rsidRDefault="00C15BB4" w:rsidP="00C15BB4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C15BB4" w:rsidRPr="002B4729" w:rsidRDefault="00C15BB4" w:rsidP="00C15BB4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C15BB4" w:rsidRPr="002B4729" w:rsidRDefault="00C15BB4" w:rsidP="00C15BB4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C15BB4" w:rsidRPr="002B4729" w:rsidRDefault="00C15BB4" w:rsidP="00C15BB4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09.11.2017 № 2376</w:t>
      </w:r>
    </w:p>
    <w:p w:rsidR="00C15BB4" w:rsidRPr="002B4729" w:rsidRDefault="00C15BB4" w:rsidP="00C15BB4">
      <w:pPr>
        <w:autoSpaceDE w:val="0"/>
        <w:autoSpaceDN w:val="0"/>
        <w:adjustRightInd w:val="0"/>
        <w:ind w:firstLine="540"/>
        <w:jc w:val="both"/>
      </w:pPr>
    </w:p>
    <w:p w:rsidR="00C15BB4" w:rsidRDefault="00C15BB4" w:rsidP="00C1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5BB4" w:rsidRPr="00E25AA3" w:rsidRDefault="00C15BB4" w:rsidP="00C15B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15BB4" w:rsidRPr="00E25AA3" w:rsidRDefault="00C15BB4" w:rsidP="00C15B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C15BB4" w:rsidRDefault="00C15BB4" w:rsidP="00C15B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C15BB4" w:rsidRDefault="00C15BB4" w:rsidP="00C15B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храма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 имя св. Архистратига Михаила</w:t>
      </w:r>
    </w:p>
    <w:p w:rsidR="00C15BB4" w:rsidRPr="00E25AA3" w:rsidRDefault="00C15BB4" w:rsidP="00C15B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Чигорак</w:t>
      </w:r>
      <w:proofErr w:type="spell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Борисоглебского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религиозной организации «</w:t>
      </w:r>
      <w:r w:rsidRPr="00506B06">
        <w:rPr>
          <w:rFonts w:ascii="Times New Roman" w:hAnsi="Times New Roman" w:cs="Times New Roman"/>
          <w:b w:val="0"/>
          <w:sz w:val="28"/>
          <w:szCs w:val="28"/>
        </w:rPr>
        <w:t>Борисоглеб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>ская Епархия Русской Православной Цер</w:t>
      </w:r>
      <w:r>
        <w:rPr>
          <w:rFonts w:ascii="Times New Roman" w:hAnsi="Times New Roman" w:cs="Times New Roman"/>
          <w:b w:val="0"/>
          <w:sz w:val="28"/>
          <w:szCs w:val="28"/>
        </w:rPr>
        <w:t>кви (Московский П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атриархат)»  </w:t>
      </w:r>
    </w:p>
    <w:p w:rsidR="00C15BB4" w:rsidRPr="00B47F3E" w:rsidRDefault="00C15BB4" w:rsidP="00C1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C15BB4" w:rsidRPr="00827560" w:rsidTr="0013554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Pr="00B47F3E" w:rsidRDefault="00C15BB4" w:rsidP="00135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Pr="00827560" w:rsidRDefault="00C15BB4" w:rsidP="00135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Pr="00827560" w:rsidRDefault="00C15BB4" w:rsidP="00135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Pr="00827560" w:rsidRDefault="00C15BB4" w:rsidP="00135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C15BB4" w:rsidRPr="00827560" w:rsidTr="0013554D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Default="00C15BB4" w:rsidP="0013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Default="00C15BB4" w:rsidP="0013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Церковь Михаила Архангела </w:t>
            </w:r>
          </w:p>
          <w:p w:rsidR="00C15BB4" w:rsidRDefault="00C15BB4" w:rsidP="0013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506B06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:04:2000004:310</w:t>
            </w:r>
          </w:p>
          <w:p w:rsidR="00C15BB4" w:rsidRPr="00226BDD" w:rsidRDefault="00C15BB4" w:rsidP="0013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Default="00C15BB4" w:rsidP="0013554D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C15BB4" w:rsidRDefault="00C15BB4" w:rsidP="0013554D">
            <w:pPr>
              <w:rPr>
                <w:sz w:val="28"/>
                <w:szCs w:val="28"/>
              </w:rPr>
            </w:pPr>
            <w:r w:rsidRPr="00506B06">
              <w:rPr>
                <w:sz w:val="28"/>
                <w:szCs w:val="28"/>
              </w:rPr>
              <w:t>Борисоглеб</w:t>
            </w:r>
            <w:r>
              <w:rPr>
                <w:sz w:val="28"/>
                <w:szCs w:val="28"/>
              </w:rPr>
              <w:t xml:space="preserve">ский городской округ,                                 с. </w:t>
            </w:r>
            <w:proofErr w:type="spellStart"/>
            <w:r>
              <w:rPr>
                <w:sz w:val="28"/>
                <w:szCs w:val="28"/>
              </w:rPr>
              <w:t>Чигорак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C15BB4" w:rsidRDefault="00C15BB4" w:rsidP="0013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</w:t>
            </w:r>
          </w:p>
          <w:p w:rsidR="00C15BB4" w:rsidRPr="00827560" w:rsidRDefault="00C15BB4" w:rsidP="0013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Pr="00827560" w:rsidRDefault="00C15BB4" w:rsidP="0013554D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15BB4" w:rsidRPr="00827560" w:rsidRDefault="00C15BB4" w:rsidP="0013554D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15BB4" w:rsidRPr="00827560" w:rsidTr="0013554D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Default="00C15BB4" w:rsidP="0013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Default="00C15BB4" w:rsidP="0013554D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C15BB4" w:rsidRPr="00A702C3" w:rsidRDefault="00C15BB4" w:rsidP="0013554D">
            <w:pPr>
              <w:jc w:val="both"/>
              <w:rPr>
                <w:color w:val="FF0000"/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F364F5">
              <w:rPr>
                <w:color w:val="000000" w:themeColor="text1"/>
                <w:sz w:val="28"/>
                <w:szCs w:val="28"/>
              </w:rPr>
              <w:t>36:04:200000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64F5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8</w:t>
            </w:r>
          </w:p>
          <w:p w:rsidR="00C15BB4" w:rsidRDefault="00C15BB4" w:rsidP="0013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Default="00C15BB4" w:rsidP="0013554D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C15BB4" w:rsidRPr="00506B06" w:rsidRDefault="00C15BB4" w:rsidP="0013554D">
            <w:pPr>
              <w:rPr>
                <w:sz w:val="28"/>
                <w:szCs w:val="28"/>
              </w:rPr>
            </w:pPr>
            <w:r w:rsidRPr="003E72D6">
              <w:rPr>
                <w:sz w:val="28"/>
                <w:szCs w:val="28"/>
              </w:rPr>
              <w:t>Борисоглебский городской округ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                                с. </w:t>
            </w:r>
            <w:proofErr w:type="spellStart"/>
            <w:r w:rsidRPr="00506B06">
              <w:rPr>
                <w:sz w:val="28"/>
                <w:szCs w:val="28"/>
              </w:rPr>
              <w:t>Чигорак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06B06">
              <w:rPr>
                <w:sz w:val="28"/>
                <w:szCs w:val="28"/>
              </w:rPr>
              <w:t xml:space="preserve">ул. </w:t>
            </w:r>
            <w:proofErr w:type="gramStart"/>
            <w:r w:rsidRPr="00506B06">
              <w:rPr>
                <w:sz w:val="28"/>
                <w:szCs w:val="28"/>
              </w:rPr>
              <w:t>Центральная</w:t>
            </w:r>
            <w:proofErr w:type="gramEnd"/>
            <w:r w:rsidRPr="00506B06">
              <w:rPr>
                <w:sz w:val="28"/>
                <w:szCs w:val="28"/>
              </w:rPr>
              <w:t xml:space="preserve">, </w:t>
            </w:r>
          </w:p>
          <w:p w:rsidR="00C15BB4" w:rsidRDefault="00C15BB4" w:rsidP="001355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 w:rsidRPr="00506B06">
              <w:rPr>
                <w:sz w:val="28"/>
                <w:szCs w:val="28"/>
              </w:rPr>
              <w:t>. 16</w:t>
            </w:r>
          </w:p>
          <w:p w:rsidR="00C15BB4" w:rsidRPr="00827560" w:rsidRDefault="00C15BB4" w:rsidP="0013554D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B4" w:rsidRPr="00827560" w:rsidRDefault="00C15BB4" w:rsidP="0013554D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15BB4" w:rsidRPr="00C64855" w:rsidRDefault="00C15BB4" w:rsidP="00135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2400</w:t>
            </w:r>
            <w:r w:rsidRPr="00C64855">
              <w:rPr>
                <w:color w:val="000000" w:themeColor="text1"/>
                <w:sz w:val="28"/>
                <w:szCs w:val="28"/>
              </w:rPr>
              <w:t xml:space="preserve"> кв</w:t>
            </w:r>
            <w:proofErr w:type="gramStart"/>
            <w:r w:rsidRPr="00C64855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</w:tbl>
    <w:p w:rsidR="00C15BB4" w:rsidRPr="002B4729" w:rsidRDefault="00C15BB4" w:rsidP="00C15BB4"/>
    <w:p w:rsidR="00C15BB4" w:rsidRDefault="00C15BB4" w:rsidP="00C15BB4"/>
    <w:p w:rsidR="00C15BB4" w:rsidRDefault="00C15BB4" w:rsidP="00C15BB4"/>
    <w:p w:rsidR="00C15BB4" w:rsidRDefault="00C15BB4"/>
    <w:sectPr w:rsidR="00C15BB4" w:rsidSect="0020477A">
      <w:pgSz w:w="16838" w:h="11905" w:orient="landscape" w:code="9"/>
      <w:pgMar w:top="85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B1" w:rsidRDefault="00B916B1" w:rsidP="001C24F7">
      <w:r>
        <w:separator/>
      </w:r>
    </w:p>
  </w:endnote>
  <w:endnote w:type="continuationSeparator" w:id="0">
    <w:p w:rsidR="00B916B1" w:rsidRDefault="00B916B1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B1" w:rsidRDefault="00B916B1" w:rsidP="001C24F7">
      <w:r>
        <w:separator/>
      </w:r>
    </w:p>
  </w:footnote>
  <w:footnote w:type="continuationSeparator" w:id="0">
    <w:p w:rsidR="00B916B1" w:rsidRDefault="00B916B1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C726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C15BB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C15BB4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D7C08"/>
    <w:rsid w:val="001A169D"/>
    <w:rsid w:val="001C24F7"/>
    <w:rsid w:val="002560D8"/>
    <w:rsid w:val="002A012A"/>
    <w:rsid w:val="00483CCB"/>
    <w:rsid w:val="00526CE9"/>
    <w:rsid w:val="005F5B12"/>
    <w:rsid w:val="00602779"/>
    <w:rsid w:val="006946C2"/>
    <w:rsid w:val="006F0843"/>
    <w:rsid w:val="00733E5A"/>
    <w:rsid w:val="0076621C"/>
    <w:rsid w:val="00817F09"/>
    <w:rsid w:val="00975FAE"/>
    <w:rsid w:val="00AD223B"/>
    <w:rsid w:val="00B916B1"/>
    <w:rsid w:val="00BD592F"/>
    <w:rsid w:val="00C15BB4"/>
    <w:rsid w:val="00C726F3"/>
    <w:rsid w:val="00CA7459"/>
    <w:rsid w:val="00D867F4"/>
    <w:rsid w:val="00E71CBA"/>
    <w:rsid w:val="00E87E88"/>
    <w:rsid w:val="00ED78D9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15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FA57-2A87-44B9-A71B-D0347FE7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2017-10-30T08:49:00Z</cp:lastPrinted>
  <dcterms:created xsi:type="dcterms:W3CDTF">2017-12-01T05:09:00Z</dcterms:created>
  <dcterms:modified xsi:type="dcterms:W3CDTF">2017-12-01T05:09:00Z</dcterms:modified>
</cp:coreProperties>
</file>